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7F0EDB" w14:textId="77777777" w:rsidR="00881FE1" w:rsidRDefault="00881FE1" w:rsidP="00881FE1">
      <w:pPr>
        <w:pStyle w:val="yiv6538170029articlehead2red"/>
        <w:shd w:val="clear" w:color="auto" w:fill="FFFFFF"/>
        <w:spacing w:before="0" w:beforeAutospacing="0" w:after="0" w:afterAutospacing="0" w:line="300" w:lineRule="atLeast"/>
        <w:rPr>
          <w:rStyle w:val="Strong"/>
          <w:rFonts w:ascii="Verdana" w:hAnsi="Verdana"/>
          <w:color w:val="981039"/>
          <w:sz w:val="27"/>
          <w:szCs w:val="27"/>
        </w:rPr>
      </w:pPr>
    </w:p>
    <w:p w14:paraId="0178702D" w14:textId="34D14CE0" w:rsidR="00881FE1" w:rsidRDefault="00881FE1" w:rsidP="00881FE1">
      <w:pPr>
        <w:pStyle w:val="yiv6538170029articlehead2red"/>
        <w:shd w:val="clear" w:color="auto" w:fill="FFFFFF"/>
        <w:spacing w:before="0" w:beforeAutospacing="0" w:after="0" w:afterAutospacing="0" w:line="300" w:lineRule="atLeast"/>
        <w:rPr>
          <w:rStyle w:val="Strong"/>
          <w:rFonts w:ascii="Verdana" w:hAnsi="Verdana"/>
          <w:color w:val="981039"/>
          <w:sz w:val="27"/>
          <w:szCs w:val="27"/>
        </w:rPr>
      </w:pPr>
      <w:r>
        <w:rPr>
          <w:rStyle w:val="Strong"/>
          <w:rFonts w:ascii="Verdana" w:hAnsi="Verdana"/>
          <w:color w:val="981039"/>
          <w:sz w:val="27"/>
          <w:szCs w:val="27"/>
        </w:rPr>
        <w:t>MEUA Apprentice Linemen Training Program</w:t>
      </w:r>
    </w:p>
    <w:p w14:paraId="047428F2" w14:textId="77777777" w:rsidR="00881FE1" w:rsidRDefault="00881FE1" w:rsidP="00881FE1">
      <w:pPr>
        <w:pStyle w:val="yiv6538170029articlehead2red"/>
        <w:shd w:val="clear" w:color="auto" w:fill="FFFFFF"/>
        <w:spacing w:before="0" w:beforeAutospacing="0" w:after="0" w:afterAutospacing="0" w:line="300" w:lineRule="atLeast"/>
        <w:rPr>
          <w:rStyle w:val="Strong"/>
          <w:rFonts w:ascii="Verdana" w:hAnsi="Verdana"/>
          <w:b w:val="0"/>
          <w:bCs w:val="0"/>
          <w:color w:val="981039"/>
          <w:sz w:val="27"/>
          <w:szCs w:val="27"/>
        </w:rPr>
      </w:pPr>
      <w:r w:rsidRPr="00F33A8C">
        <w:rPr>
          <w:rStyle w:val="Strong"/>
          <w:rFonts w:ascii="Verdana" w:hAnsi="Verdana"/>
          <w:b w:val="0"/>
          <w:bCs w:val="0"/>
          <w:color w:val="981039"/>
          <w:sz w:val="27"/>
          <w:szCs w:val="27"/>
        </w:rPr>
        <w:t>Topics Covered &amp; Prerequisites</w:t>
      </w:r>
    </w:p>
    <w:p w14:paraId="77538109" w14:textId="77777777" w:rsidR="00881FE1" w:rsidRPr="00F33A8C" w:rsidRDefault="00881FE1" w:rsidP="00881FE1">
      <w:pPr>
        <w:pStyle w:val="yiv6538170029articlehead2red"/>
        <w:shd w:val="clear" w:color="auto" w:fill="FFFFFF"/>
        <w:spacing w:before="0" w:beforeAutospacing="0" w:after="0" w:afterAutospacing="0" w:line="300" w:lineRule="atLeast"/>
        <w:rPr>
          <w:b/>
          <w:bCs/>
        </w:rPr>
      </w:pPr>
    </w:p>
    <w:p w14:paraId="598A39A6" w14:textId="77777777" w:rsidR="00881FE1" w:rsidRDefault="00881FE1" w:rsidP="00881FE1">
      <w:pPr>
        <w:pStyle w:val="yiv6538170029articleparagraph"/>
        <w:shd w:val="clear" w:color="auto" w:fill="FFFFFF"/>
        <w:spacing w:before="0" w:beforeAutospacing="0" w:after="0" w:afterAutospacing="0"/>
      </w:pPr>
      <w:r>
        <w:rPr>
          <w:rFonts w:ascii="Verdana" w:hAnsi="Verdana"/>
          <w:color w:val="333333"/>
          <w:sz w:val="18"/>
          <w:szCs w:val="18"/>
        </w:rPr>
        <w:t> </w:t>
      </w:r>
    </w:p>
    <w:p w14:paraId="26D28E2A" w14:textId="77777777" w:rsidR="00881FE1" w:rsidRPr="00881FE1" w:rsidRDefault="00881FE1" w:rsidP="00881FE1">
      <w:pPr>
        <w:pStyle w:val="yiv6538170029articleparagraph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81FE1">
        <w:rPr>
          <w:rStyle w:val="Strong"/>
          <w:rFonts w:ascii="Verdana" w:hAnsi="Verdana"/>
          <w:color w:val="333333"/>
          <w:sz w:val="20"/>
          <w:szCs w:val="20"/>
        </w:rPr>
        <w:t>Year One:</w:t>
      </w:r>
    </w:p>
    <w:p w14:paraId="76A4BA92" w14:textId="77777777" w:rsidR="00881FE1" w:rsidRDefault="00881FE1" w:rsidP="00881FE1">
      <w:pPr>
        <w:pStyle w:val="yiv6538170029articleparagraph"/>
        <w:shd w:val="clear" w:color="auto" w:fill="FFFFFF"/>
        <w:spacing w:before="0" w:beforeAutospacing="0" w:after="120" w:afterAutospacing="0"/>
        <w:rPr>
          <w:rFonts w:ascii="Verdana" w:hAnsi="Verdana"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</w:rPr>
        <w:t>Introduction to power delivery; safety; working in elevated positions; knots, splices and rope; electrical systems; first aid; applied mathematics; basic electrical theory; transformer basics; and 29 CFR 1910.269 (Parts A, B, C, G, I, K, N)</w:t>
      </w:r>
    </w:p>
    <w:p w14:paraId="289660A9" w14:textId="77777777" w:rsidR="00881FE1" w:rsidRDefault="00881FE1" w:rsidP="00881FE1">
      <w:pPr>
        <w:pStyle w:val="yiv6538170029articleparagraph"/>
        <w:shd w:val="clear" w:color="auto" w:fill="FFFFFF"/>
        <w:spacing w:before="0" w:beforeAutospacing="0" w:after="0" w:afterAutospacing="0"/>
      </w:pPr>
      <w:r>
        <w:rPr>
          <w:rStyle w:val="Strong"/>
          <w:rFonts w:ascii="Verdana" w:hAnsi="Verdana"/>
          <w:color w:val="333333"/>
          <w:sz w:val="18"/>
          <w:szCs w:val="18"/>
        </w:rPr>
        <w:t>Prerequisite:</w:t>
      </w:r>
      <w:r>
        <w:rPr>
          <w:rFonts w:ascii="Verdana" w:hAnsi="Verdana"/>
          <w:color w:val="333333"/>
          <w:sz w:val="18"/>
          <w:szCs w:val="18"/>
        </w:rPr>
        <w:t> It is recommended that students new to the program be pre-qualified through their utility.</w:t>
      </w:r>
    </w:p>
    <w:p w14:paraId="2C070358" w14:textId="77777777" w:rsidR="00881FE1" w:rsidRDefault="00881FE1" w:rsidP="00881FE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333333"/>
          <w:sz w:val="20"/>
          <w:szCs w:val="20"/>
        </w:rPr>
        <w:t> </w:t>
      </w:r>
    </w:p>
    <w:p w14:paraId="2418198B" w14:textId="77777777" w:rsidR="00881FE1" w:rsidRDefault="00881FE1" w:rsidP="00881FE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333333"/>
          <w:sz w:val="20"/>
          <w:szCs w:val="20"/>
        </w:rPr>
        <w:t>All Year One Students are required to complete a special enrollment form online with the Northwest Lineman College, including a "Readiness Assessment".</w:t>
      </w:r>
    </w:p>
    <w:p w14:paraId="4B98A36A" w14:textId="1169CD77" w:rsidR="00881FE1" w:rsidRDefault="00881FE1" w:rsidP="00881F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 </w:t>
      </w:r>
    </w:p>
    <w:p w14:paraId="22FC02E8" w14:textId="77777777" w:rsidR="00881FE1" w:rsidRPr="00881FE1" w:rsidRDefault="00881FE1" w:rsidP="00881FE1">
      <w:pPr>
        <w:pStyle w:val="NormalWeb"/>
        <w:shd w:val="clear" w:color="auto" w:fill="FFFFFF"/>
        <w:spacing w:before="0" w:beforeAutospacing="0" w:after="0" w:afterAutospacing="0"/>
        <w:rPr>
          <w:sz w:val="24"/>
          <w:szCs w:val="24"/>
        </w:rPr>
      </w:pPr>
    </w:p>
    <w:p w14:paraId="39C20302" w14:textId="77777777" w:rsidR="00881FE1" w:rsidRPr="00881FE1" w:rsidRDefault="00881FE1" w:rsidP="00881FE1">
      <w:pPr>
        <w:pStyle w:val="yiv6538170029articleparagraph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81FE1">
        <w:rPr>
          <w:rStyle w:val="Strong"/>
          <w:rFonts w:ascii="Verdana" w:hAnsi="Verdana"/>
          <w:color w:val="333333"/>
          <w:sz w:val="20"/>
          <w:szCs w:val="20"/>
        </w:rPr>
        <w:t>Year Two:</w:t>
      </w:r>
    </w:p>
    <w:p w14:paraId="62FA33F9" w14:textId="77777777" w:rsidR="00881FE1" w:rsidRDefault="00881FE1" w:rsidP="00881FE1">
      <w:pPr>
        <w:pStyle w:val="yiv6538170029articleparagraph"/>
        <w:shd w:val="clear" w:color="auto" w:fill="FFFFFF"/>
        <w:spacing w:before="0" w:beforeAutospacing="0" w:after="120" w:afterAutospacing="0"/>
      </w:pPr>
      <w:r>
        <w:rPr>
          <w:rFonts w:ascii="Verdana" w:hAnsi="Verdana"/>
          <w:color w:val="333333"/>
          <w:sz w:val="18"/>
          <w:szCs w:val="18"/>
        </w:rPr>
        <w:t>Safety; AC fundamentals; personal protective grounding; live line equipment and methods; rigging; underground conductors; overhead conductors; electrical test equipment; substations; and 29 CFR 1910.269 (Parts H, J, L, M, R)</w:t>
      </w:r>
    </w:p>
    <w:p w14:paraId="33A8C5E7" w14:textId="77777777" w:rsidR="00881FE1" w:rsidRDefault="00881FE1" w:rsidP="00881FE1">
      <w:pPr>
        <w:pStyle w:val="yiv6538170029articleparagraph"/>
        <w:shd w:val="clear" w:color="auto" w:fill="FFFFFF"/>
        <w:spacing w:before="0" w:beforeAutospacing="0" w:after="0" w:afterAutospacing="0"/>
      </w:pPr>
      <w:r>
        <w:rPr>
          <w:rStyle w:val="Strong"/>
          <w:rFonts w:ascii="Verdana" w:hAnsi="Verdana"/>
          <w:color w:val="333333"/>
          <w:sz w:val="18"/>
          <w:szCs w:val="18"/>
        </w:rPr>
        <w:t>Prerequisite:</w:t>
      </w:r>
      <w:r>
        <w:rPr>
          <w:rFonts w:ascii="Verdana" w:hAnsi="Verdana"/>
          <w:color w:val="333333"/>
          <w:sz w:val="18"/>
          <w:szCs w:val="18"/>
        </w:rPr>
        <w:t> Year One, or successful completion of the Year One Prequalification Competencies &amp; Exam</w:t>
      </w:r>
    </w:p>
    <w:p w14:paraId="6CBCFEB7" w14:textId="39084C5B" w:rsidR="00881FE1" w:rsidRDefault="00881FE1" w:rsidP="00881FE1">
      <w:pPr>
        <w:pStyle w:val="Normal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333333"/>
          <w:sz w:val="20"/>
          <w:szCs w:val="20"/>
        </w:rPr>
      </w:pPr>
      <w:r>
        <w:rPr>
          <w:rFonts w:ascii="Segoe UI" w:hAnsi="Segoe UI" w:cs="Segoe UI"/>
          <w:color w:val="333333"/>
          <w:sz w:val="20"/>
          <w:szCs w:val="20"/>
        </w:rPr>
        <w:t> </w:t>
      </w:r>
    </w:p>
    <w:p w14:paraId="0E66233E" w14:textId="77777777" w:rsidR="00881FE1" w:rsidRDefault="00881FE1" w:rsidP="00881FE1">
      <w:pPr>
        <w:pStyle w:val="NormalWeb"/>
        <w:shd w:val="clear" w:color="auto" w:fill="FFFFFF"/>
        <w:spacing w:before="0" w:beforeAutospacing="0" w:after="0" w:afterAutospacing="0"/>
      </w:pPr>
    </w:p>
    <w:p w14:paraId="29849D7B" w14:textId="77777777" w:rsidR="00881FE1" w:rsidRPr="00881FE1" w:rsidRDefault="00881FE1" w:rsidP="00881FE1">
      <w:pPr>
        <w:pStyle w:val="yiv6538170029articleparagraph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81FE1">
        <w:rPr>
          <w:rStyle w:val="Strong"/>
          <w:rFonts w:ascii="Verdana" w:hAnsi="Verdana"/>
          <w:color w:val="333333"/>
          <w:sz w:val="20"/>
          <w:szCs w:val="20"/>
        </w:rPr>
        <w:t>Year Three:</w:t>
      </w:r>
    </w:p>
    <w:p w14:paraId="5F9A39D8" w14:textId="77777777" w:rsidR="00881FE1" w:rsidRDefault="00881FE1" w:rsidP="00881FE1">
      <w:pPr>
        <w:pStyle w:val="yiv6538170029articleparagraph"/>
        <w:shd w:val="clear" w:color="auto" w:fill="FFFFFF"/>
        <w:spacing w:before="0" w:beforeAutospacing="0" w:after="120" w:afterAutospacing="0"/>
      </w:pPr>
      <w:r>
        <w:rPr>
          <w:rFonts w:ascii="Verdana" w:hAnsi="Verdana"/>
          <w:color w:val="333333"/>
          <w:sz w:val="18"/>
          <w:szCs w:val="18"/>
        </w:rPr>
        <w:t>Safety; special elements; metering; system power flow; advanced transformers; maps and standards; system protection; National Electric Safety Code One and Two; and 29 CFR 1910.269 (Parts E, F, P, Q, T, U, W)</w:t>
      </w:r>
    </w:p>
    <w:p w14:paraId="3AA9FC38" w14:textId="7F62AF60" w:rsidR="00881FE1" w:rsidRDefault="00881FE1" w:rsidP="00881FE1">
      <w:pPr>
        <w:pStyle w:val="yiv6538170029articleparagraph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18"/>
          <w:szCs w:val="18"/>
        </w:rPr>
      </w:pPr>
      <w:r>
        <w:rPr>
          <w:rStyle w:val="Strong"/>
          <w:rFonts w:ascii="Verdana" w:hAnsi="Verdana"/>
          <w:color w:val="333333"/>
          <w:sz w:val="18"/>
          <w:szCs w:val="18"/>
        </w:rPr>
        <w:t>Prerequisite:</w:t>
      </w:r>
      <w:r>
        <w:rPr>
          <w:rFonts w:ascii="Verdana" w:hAnsi="Verdana"/>
          <w:color w:val="333333"/>
          <w:sz w:val="18"/>
          <w:szCs w:val="18"/>
        </w:rPr>
        <w:t> Year Two, or successful completion of the Year One and Year Two Prequalification Competencies &amp; Exams</w:t>
      </w:r>
    </w:p>
    <w:p w14:paraId="07EEFC60" w14:textId="77777777" w:rsidR="00881FE1" w:rsidRDefault="00881FE1" w:rsidP="00881FE1">
      <w:pPr>
        <w:pStyle w:val="yiv6538170029articleparagraph"/>
        <w:shd w:val="clear" w:color="auto" w:fill="FFFFFF"/>
        <w:spacing w:before="0" w:beforeAutospacing="0" w:after="0" w:afterAutospacing="0"/>
      </w:pPr>
    </w:p>
    <w:p w14:paraId="263DC7A3" w14:textId="77777777" w:rsidR="00881FE1" w:rsidRDefault="00881FE1" w:rsidP="00881FE1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Segoe UI" w:hAnsi="Segoe UI" w:cs="Segoe UI"/>
          <w:color w:val="333333"/>
          <w:sz w:val="20"/>
          <w:szCs w:val="20"/>
        </w:rPr>
        <w:t> </w:t>
      </w:r>
    </w:p>
    <w:p w14:paraId="2B208325" w14:textId="77777777" w:rsidR="00881FE1" w:rsidRPr="00881FE1" w:rsidRDefault="00881FE1" w:rsidP="00881FE1">
      <w:pPr>
        <w:pStyle w:val="yiv6538170029articleparagraph"/>
        <w:shd w:val="clear" w:color="auto" w:fill="FFFFFF"/>
        <w:spacing w:before="0" w:beforeAutospacing="0" w:after="0" w:afterAutospacing="0"/>
        <w:rPr>
          <w:sz w:val="24"/>
          <w:szCs w:val="24"/>
        </w:rPr>
      </w:pPr>
      <w:r w:rsidRPr="00881FE1">
        <w:rPr>
          <w:rStyle w:val="Strong"/>
          <w:rFonts w:ascii="Verdana" w:hAnsi="Verdana"/>
          <w:color w:val="333333"/>
          <w:sz w:val="20"/>
          <w:szCs w:val="20"/>
        </w:rPr>
        <w:t>Year Four:</w:t>
      </w:r>
    </w:p>
    <w:p w14:paraId="1953EE7F" w14:textId="77777777" w:rsidR="00881FE1" w:rsidRDefault="00881FE1" w:rsidP="00881FE1">
      <w:pPr>
        <w:pStyle w:val="yiv6538170029articleparagraph"/>
        <w:shd w:val="clear" w:color="auto" w:fill="FFFFFF"/>
        <w:spacing w:before="0" w:beforeAutospacing="0" w:after="120" w:afterAutospacing="0"/>
      </w:pPr>
      <w:r>
        <w:rPr>
          <w:rFonts w:ascii="Verdana" w:hAnsi="Verdana"/>
          <w:color w:val="333333"/>
          <w:sz w:val="18"/>
          <w:szCs w:val="18"/>
        </w:rPr>
        <w:t>Safety; communication systems; special elements; vegetation management; system operation; system automation; overhead line design; underground line design; trouble investigation; and crew leadership.</w:t>
      </w:r>
    </w:p>
    <w:p w14:paraId="43F13FA0" w14:textId="77777777" w:rsidR="00881FE1" w:rsidRDefault="00881FE1" w:rsidP="00881FE1">
      <w:pPr>
        <w:pStyle w:val="yiv6538170029articleparagraph"/>
        <w:shd w:val="clear" w:color="auto" w:fill="FFFFFF"/>
        <w:spacing w:before="0" w:beforeAutospacing="0" w:after="0" w:afterAutospacing="0"/>
      </w:pPr>
      <w:r>
        <w:rPr>
          <w:rStyle w:val="Strong"/>
          <w:rFonts w:ascii="Verdana" w:hAnsi="Verdana"/>
          <w:color w:val="333333"/>
          <w:sz w:val="18"/>
          <w:szCs w:val="18"/>
        </w:rPr>
        <w:t>Prerequisite</w:t>
      </w:r>
      <w:r>
        <w:rPr>
          <w:rFonts w:ascii="Verdana" w:hAnsi="Verdana"/>
          <w:color w:val="333333"/>
          <w:sz w:val="18"/>
          <w:szCs w:val="18"/>
        </w:rPr>
        <w:t>: Year Three</w:t>
      </w:r>
    </w:p>
    <w:p w14:paraId="1922AD87" w14:textId="77777777" w:rsidR="00881FE1" w:rsidRDefault="00881FE1" w:rsidP="00881FE1">
      <w:pPr>
        <w:jc w:val="left"/>
      </w:pPr>
    </w:p>
    <w:p w14:paraId="4F208335" w14:textId="77777777" w:rsidR="001A0C84" w:rsidRDefault="001A0C84" w:rsidP="00881FE1">
      <w:pPr>
        <w:jc w:val="left"/>
      </w:pPr>
    </w:p>
    <w:sectPr w:rsidR="001A0C84" w:rsidSect="002F3DB2">
      <w:headerReference w:type="default" r:id="rId6"/>
      <w:pgSz w:w="12240" w:h="15840"/>
      <w:pgMar w:top="1440" w:right="720" w:bottom="1440" w:left="720" w:header="720" w:footer="720" w:gutter="0"/>
      <w:cols w:num="2" w:space="720" w:equalWidth="0">
        <w:col w:w="9360" w:space="-1"/>
        <w:col w:w="-1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0B6C19" w14:textId="77777777" w:rsidR="009F1450" w:rsidRDefault="009F1450" w:rsidP="00013FF1">
      <w:r>
        <w:separator/>
      </w:r>
    </w:p>
  </w:endnote>
  <w:endnote w:type="continuationSeparator" w:id="0">
    <w:p w14:paraId="33389F51" w14:textId="77777777" w:rsidR="009F1450" w:rsidRDefault="009F1450" w:rsidP="00013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828944" w14:textId="77777777" w:rsidR="009F1450" w:rsidRDefault="009F1450" w:rsidP="00013FF1">
      <w:r>
        <w:separator/>
      </w:r>
    </w:p>
  </w:footnote>
  <w:footnote w:type="continuationSeparator" w:id="0">
    <w:p w14:paraId="65AB8939" w14:textId="77777777" w:rsidR="009F1450" w:rsidRDefault="009F1450" w:rsidP="00013F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CE41C" w14:textId="3DC490FA" w:rsidR="00013FF1" w:rsidRPr="00013FF1" w:rsidRDefault="00013FF1" w:rsidP="00013FF1">
    <w:pPr>
      <w:ind w:left="0" w:right="0"/>
      <w:rPr>
        <w:rFonts w:ascii="Verdana" w:eastAsia="Times New Roman" w:hAnsi="Verdana"/>
        <w:b/>
        <w:bCs w:val="0"/>
        <w:i/>
        <w:sz w:val="36"/>
        <w:szCs w:val="36"/>
      </w:rPr>
    </w:pPr>
    <w:r w:rsidRPr="00013FF1">
      <w:rPr>
        <w:rFonts w:eastAsia="Times New Roman"/>
        <w:bCs w:val="0"/>
        <w:noProof/>
        <w:sz w:val="28"/>
        <w:szCs w:val="24"/>
      </w:rPr>
      <w:drawing>
        <wp:anchor distT="0" distB="0" distL="114300" distR="114300" simplePos="0" relativeHeight="251659264" behindDoc="0" locked="0" layoutInCell="1" allowOverlap="1" wp14:anchorId="016BEE98" wp14:editId="418169B8">
          <wp:simplePos x="0" y="0"/>
          <wp:positionH relativeFrom="column">
            <wp:posOffset>187130</wp:posOffset>
          </wp:positionH>
          <wp:positionV relativeFrom="paragraph">
            <wp:posOffset>-263866</wp:posOffset>
          </wp:positionV>
          <wp:extent cx="1600200" cy="1346200"/>
          <wp:effectExtent l="0" t="0" r="0" b="6350"/>
          <wp:wrapSquare wrapText="right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346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3FF1">
      <w:rPr>
        <w:rFonts w:ascii="Verdana" w:eastAsia="Times New Roman" w:hAnsi="Verdana"/>
        <w:b/>
        <w:bCs w:val="0"/>
        <w:i/>
        <w:sz w:val="40"/>
        <w:szCs w:val="40"/>
      </w:rPr>
      <w:t>Municipal Electric Utilities</w:t>
    </w:r>
  </w:p>
  <w:p w14:paraId="17B7C411" w14:textId="77777777" w:rsidR="00013FF1" w:rsidRPr="00013FF1" w:rsidRDefault="00013FF1" w:rsidP="00013FF1">
    <w:pPr>
      <w:ind w:left="0" w:right="0"/>
      <w:rPr>
        <w:rFonts w:ascii="Verdana" w:eastAsia="Times New Roman" w:hAnsi="Verdana"/>
        <w:b/>
        <w:bCs w:val="0"/>
        <w:i/>
        <w:sz w:val="36"/>
        <w:szCs w:val="36"/>
      </w:rPr>
    </w:pPr>
    <w:r w:rsidRPr="00013FF1">
      <w:rPr>
        <w:rFonts w:ascii="Verdana" w:eastAsia="Times New Roman" w:hAnsi="Verdana"/>
        <w:b/>
        <w:bCs w:val="0"/>
        <w:i/>
        <w:sz w:val="40"/>
        <w:szCs w:val="40"/>
      </w:rPr>
      <w:t>Association of New York State</w:t>
    </w:r>
  </w:p>
  <w:p w14:paraId="7FE98080" w14:textId="77777777" w:rsidR="00013FF1" w:rsidRPr="00013FF1" w:rsidRDefault="00013FF1" w:rsidP="00013FF1">
    <w:pPr>
      <w:ind w:left="0" w:right="0"/>
      <w:rPr>
        <w:rFonts w:ascii="Verdana" w:eastAsia="Times New Roman" w:hAnsi="Verdana"/>
        <w:bCs w:val="0"/>
        <w:i/>
        <w:sz w:val="22"/>
        <w:szCs w:val="22"/>
      </w:rPr>
    </w:pPr>
    <w:r w:rsidRPr="00013FF1">
      <w:rPr>
        <w:rFonts w:ascii="Verdana" w:eastAsia="Times New Roman" w:hAnsi="Verdana"/>
        <w:bCs w:val="0"/>
        <w:i/>
        <w:sz w:val="22"/>
        <w:szCs w:val="22"/>
      </w:rPr>
      <w:t>6652 Hammersmith Drive, East Syracuse, New York, 13057</w:t>
    </w:r>
  </w:p>
  <w:p w14:paraId="3BF39929" w14:textId="77777777" w:rsidR="00013FF1" w:rsidRPr="00013FF1" w:rsidRDefault="00013FF1" w:rsidP="00013FF1">
    <w:pPr>
      <w:ind w:left="0" w:right="0"/>
      <w:rPr>
        <w:rFonts w:ascii="Verdana" w:eastAsia="Times New Roman" w:hAnsi="Verdana"/>
        <w:bCs w:val="0"/>
        <w:i/>
        <w:sz w:val="22"/>
        <w:szCs w:val="22"/>
      </w:rPr>
    </w:pPr>
    <w:r w:rsidRPr="00013FF1">
      <w:rPr>
        <w:rFonts w:ascii="Verdana" w:eastAsia="Times New Roman" w:hAnsi="Verdana"/>
        <w:bCs w:val="0"/>
        <w:i/>
        <w:sz w:val="22"/>
        <w:szCs w:val="22"/>
      </w:rPr>
      <w:t>Phone: 315-453-7851   Fax:   315-453-7849</w:t>
    </w:r>
  </w:p>
  <w:p w14:paraId="0B479649" w14:textId="77777777" w:rsidR="00013FF1" w:rsidRPr="00013FF1" w:rsidRDefault="00013FF1" w:rsidP="00013FF1">
    <w:pPr>
      <w:ind w:left="0" w:right="0"/>
      <w:rPr>
        <w:rFonts w:ascii="Verdana" w:eastAsia="Times New Roman" w:hAnsi="Verdana"/>
        <w:bCs w:val="0"/>
        <w:i/>
        <w:sz w:val="22"/>
        <w:szCs w:val="22"/>
      </w:rPr>
    </w:pPr>
    <w:r w:rsidRPr="00013FF1">
      <w:rPr>
        <w:rFonts w:ascii="Verdana" w:eastAsia="Times New Roman" w:hAnsi="Verdana"/>
        <w:bCs w:val="0"/>
        <w:i/>
        <w:sz w:val="22"/>
        <w:szCs w:val="22"/>
      </w:rPr>
      <w:t xml:space="preserve">Email:  </w:t>
    </w:r>
    <w:hyperlink r:id="rId2" w:history="1">
      <w:r w:rsidRPr="00013FF1">
        <w:rPr>
          <w:rFonts w:ascii="Verdana" w:eastAsia="Times New Roman" w:hAnsi="Verdana"/>
          <w:bCs w:val="0"/>
          <w:i/>
          <w:color w:val="0000FF"/>
          <w:sz w:val="22"/>
          <w:szCs w:val="22"/>
          <w:u w:val="single"/>
        </w:rPr>
        <w:t>info@meua.org</w:t>
      </w:r>
    </w:hyperlink>
    <w:r w:rsidRPr="00013FF1">
      <w:rPr>
        <w:rFonts w:ascii="Verdana" w:eastAsia="Times New Roman" w:hAnsi="Verdana"/>
        <w:bCs w:val="0"/>
        <w:i/>
        <w:sz w:val="22"/>
        <w:szCs w:val="22"/>
      </w:rPr>
      <w:t xml:space="preserve">   Website:  </w:t>
    </w:r>
    <w:hyperlink r:id="rId3" w:history="1">
      <w:r w:rsidRPr="00013FF1">
        <w:rPr>
          <w:rFonts w:ascii="Verdana" w:eastAsia="Times New Roman" w:hAnsi="Verdana"/>
          <w:bCs w:val="0"/>
          <w:i/>
          <w:color w:val="0000FF"/>
          <w:sz w:val="22"/>
          <w:szCs w:val="22"/>
          <w:u w:val="single"/>
        </w:rPr>
        <w:t>www.meua.org</w:t>
      </w:r>
    </w:hyperlink>
  </w:p>
  <w:p w14:paraId="133D90A3" w14:textId="77777777" w:rsidR="00013FF1" w:rsidRDefault="00013FF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FF1"/>
    <w:rsid w:val="00001ECA"/>
    <w:rsid w:val="00013FF1"/>
    <w:rsid w:val="001A0C84"/>
    <w:rsid w:val="002F3DB2"/>
    <w:rsid w:val="00881FE1"/>
    <w:rsid w:val="009F1450"/>
    <w:rsid w:val="00EA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849BC8"/>
  <w15:chartTrackingRefBased/>
  <w15:docId w15:val="{284E28EA-BFC7-45C3-8D85-5B3E0E60D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bCs/>
        <w:sz w:val="24"/>
        <w:lang w:val="en-US" w:eastAsia="en-US" w:bidi="ar-SA"/>
      </w:rPr>
    </w:rPrDefault>
    <w:pPrDefault>
      <w:pPr>
        <w:ind w:left="101" w:right="10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3F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FF1"/>
  </w:style>
  <w:style w:type="paragraph" w:styleId="Footer">
    <w:name w:val="footer"/>
    <w:basedOn w:val="Normal"/>
    <w:link w:val="FooterChar"/>
    <w:uiPriority w:val="99"/>
    <w:unhideWhenUsed/>
    <w:rsid w:val="00013F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FF1"/>
  </w:style>
  <w:style w:type="paragraph" w:styleId="NormalWeb">
    <w:name w:val="Normal (Web)"/>
    <w:basedOn w:val="Normal"/>
    <w:uiPriority w:val="99"/>
    <w:semiHidden/>
    <w:unhideWhenUsed/>
    <w:rsid w:val="00881FE1"/>
    <w:pPr>
      <w:spacing w:before="100" w:beforeAutospacing="1" w:after="100" w:afterAutospacing="1"/>
      <w:ind w:left="0" w:right="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yiv6538170029articlehead2red">
    <w:name w:val="yiv6538170029articlehead2red"/>
    <w:basedOn w:val="Normal"/>
    <w:uiPriority w:val="99"/>
    <w:semiHidden/>
    <w:rsid w:val="00881FE1"/>
    <w:pPr>
      <w:spacing w:before="100" w:beforeAutospacing="1" w:after="100" w:afterAutospacing="1"/>
      <w:ind w:left="0" w:right="0"/>
      <w:jc w:val="left"/>
    </w:pPr>
    <w:rPr>
      <w:rFonts w:ascii="Calibri" w:hAnsi="Calibri" w:cs="Calibri"/>
      <w:bCs w:val="0"/>
      <w:sz w:val="22"/>
      <w:szCs w:val="22"/>
    </w:rPr>
  </w:style>
  <w:style w:type="paragraph" w:customStyle="1" w:styleId="yiv6538170029articleparagraph">
    <w:name w:val="yiv6538170029articleparagraph"/>
    <w:basedOn w:val="Normal"/>
    <w:uiPriority w:val="99"/>
    <w:semiHidden/>
    <w:rsid w:val="00881FE1"/>
    <w:pPr>
      <w:spacing w:before="100" w:beforeAutospacing="1" w:after="100" w:afterAutospacing="1"/>
      <w:ind w:left="0" w:right="0"/>
      <w:jc w:val="left"/>
    </w:pPr>
    <w:rPr>
      <w:rFonts w:ascii="Calibri" w:hAnsi="Calibri" w:cs="Calibri"/>
      <w:bCs w:val="0"/>
      <w:sz w:val="22"/>
      <w:szCs w:val="22"/>
    </w:rPr>
  </w:style>
  <w:style w:type="character" w:styleId="Strong">
    <w:name w:val="Strong"/>
    <w:basedOn w:val="DefaultParagraphFont"/>
    <w:uiPriority w:val="22"/>
    <w:qFormat/>
    <w:rsid w:val="00881FE1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meua.org" TargetMode="External"/><Relationship Id="rId2" Type="http://schemas.openxmlformats.org/officeDocument/2006/relationships/hyperlink" Target="mailto:info@meua.or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Narin Ly</dc:creator>
  <cp:keywords/>
  <dc:description/>
  <cp:lastModifiedBy>Narin Ly</cp:lastModifiedBy>
  <cp:revision>2</cp:revision>
  <dcterms:created xsi:type="dcterms:W3CDTF">2021-01-14T14:35:00Z</dcterms:created>
  <dcterms:modified xsi:type="dcterms:W3CDTF">2021-01-14T14:35:00Z</dcterms:modified>
</cp:coreProperties>
</file>